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3B" w:rsidRDefault="00863D3B" w:rsidP="00863D3B">
      <w:pPr>
        <w:rPr>
          <w:rFonts w:hint="cs"/>
          <w:b/>
          <w:bCs/>
          <w:sz w:val="34"/>
          <w:szCs w:val="34"/>
          <w:rtl/>
        </w:rPr>
      </w:pPr>
      <w:r w:rsidRPr="00863D3B">
        <w:rPr>
          <w:b/>
          <w:bCs/>
          <w:sz w:val="34"/>
          <w:szCs w:val="34"/>
          <w:rtl/>
        </w:rPr>
        <w:t>השופטים הקטנים</w:t>
      </w:r>
    </w:p>
    <w:p w:rsidR="00863D3B" w:rsidRPr="00863D3B" w:rsidRDefault="00863D3B" w:rsidP="00863D3B">
      <w:pPr>
        <w:rPr>
          <w:b/>
          <w:bCs/>
          <w:sz w:val="26"/>
          <w:szCs w:val="26"/>
        </w:rPr>
      </w:pPr>
      <w:r w:rsidRPr="00863D3B">
        <w:rPr>
          <w:rFonts w:hint="cs"/>
          <w:b/>
          <w:bCs/>
          <w:sz w:val="26"/>
          <w:szCs w:val="26"/>
          <w:rtl/>
        </w:rPr>
        <w:t>הרב עמיחי שהם</w:t>
      </w:r>
    </w:p>
    <w:p w:rsidR="00863D3B" w:rsidRDefault="00863D3B" w:rsidP="00863D3B">
      <w:pPr>
        <w:rPr>
          <w:rFonts w:hint="cs"/>
          <w:rtl/>
        </w:rPr>
      </w:pPr>
    </w:p>
    <w:p w:rsidR="00863D3B" w:rsidRPr="00247A06" w:rsidRDefault="00863D3B" w:rsidP="008B5B0F">
      <w:pPr>
        <w:rPr>
          <w:sz w:val="24"/>
          <w:szCs w:val="24"/>
        </w:rPr>
      </w:pPr>
      <w:r w:rsidRPr="00247A06">
        <w:rPr>
          <w:sz w:val="24"/>
          <w:szCs w:val="24"/>
          <w:rtl/>
        </w:rPr>
        <w:t xml:space="preserve">במהלך הספר אנו פוגשים שתי רשימות של שופטים שזכו לתיאור קצרצר על פועלם - עד שלושה פסוקים. רשימה אחת - המכילה את תולע בן </w:t>
      </w:r>
      <w:proofErr w:type="spellStart"/>
      <w:r w:rsidRPr="00247A06">
        <w:rPr>
          <w:sz w:val="24"/>
          <w:szCs w:val="24"/>
          <w:rtl/>
        </w:rPr>
        <w:t>פואה</w:t>
      </w:r>
      <w:proofErr w:type="spellEnd"/>
      <w:r w:rsidRPr="00247A06">
        <w:rPr>
          <w:sz w:val="24"/>
          <w:szCs w:val="24"/>
          <w:rtl/>
        </w:rPr>
        <w:t xml:space="preserve"> ואת יאיר הגלעדי - מופיעה בפרק י', לאחר תקופת אבימלך, ורשימה שנייה - בה הוזכרו </w:t>
      </w:r>
      <w:proofErr w:type="spellStart"/>
      <w:r w:rsidRPr="00247A06">
        <w:rPr>
          <w:sz w:val="24"/>
          <w:szCs w:val="24"/>
          <w:rtl/>
        </w:rPr>
        <w:t>אבצן</w:t>
      </w:r>
      <w:proofErr w:type="spellEnd"/>
      <w:r w:rsidRPr="00247A06">
        <w:rPr>
          <w:sz w:val="24"/>
          <w:szCs w:val="24"/>
          <w:rtl/>
        </w:rPr>
        <w:t>, אילון ה</w:t>
      </w:r>
      <w:r w:rsidR="008B5B0F">
        <w:rPr>
          <w:rFonts w:hint="cs"/>
          <w:sz w:val="24"/>
          <w:szCs w:val="24"/>
          <w:rtl/>
        </w:rPr>
        <w:t>זבולוני</w:t>
      </w:r>
      <w:bookmarkStart w:id="0" w:name="_GoBack"/>
      <w:bookmarkEnd w:id="0"/>
      <w:r w:rsidRPr="00247A06">
        <w:rPr>
          <w:sz w:val="24"/>
          <w:szCs w:val="24"/>
          <w:rtl/>
        </w:rPr>
        <w:t xml:space="preserve"> ועבדון בן הלל </w:t>
      </w:r>
      <w:proofErr w:type="spellStart"/>
      <w:r w:rsidRPr="00247A06">
        <w:rPr>
          <w:sz w:val="24"/>
          <w:szCs w:val="24"/>
          <w:rtl/>
        </w:rPr>
        <w:t>הפרעתוני</w:t>
      </w:r>
      <w:proofErr w:type="spellEnd"/>
      <w:r w:rsidRPr="00247A06">
        <w:rPr>
          <w:sz w:val="24"/>
          <w:szCs w:val="24"/>
          <w:rtl/>
        </w:rPr>
        <w:t xml:space="preserve"> - מופיעה בפרק י"ב, לאחר סיפור יפתח</w:t>
      </w:r>
      <w:r w:rsidRPr="00247A06">
        <w:rPr>
          <w:sz w:val="24"/>
          <w:szCs w:val="24"/>
        </w:rPr>
        <w:t>.</w:t>
      </w:r>
    </w:p>
    <w:p w:rsidR="00863D3B" w:rsidRPr="00247A06" w:rsidRDefault="00863D3B" w:rsidP="00863D3B">
      <w:pPr>
        <w:rPr>
          <w:sz w:val="24"/>
          <w:szCs w:val="24"/>
        </w:rPr>
      </w:pPr>
      <w:r w:rsidRPr="00247A06">
        <w:rPr>
          <w:sz w:val="24"/>
          <w:szCs w:val="24"/>
          <w:rtl/>
        </w:rPr>
        <w:t xml:space="preserve">לשם מה סיפר המקרא על שופטים אלו? שאלה זו מתחדדת לאור העובדה שסיפורם של שופטים אלו כלל אינו תואם את המודל שהוצג בתחילת הספר: אין חטא של העם, ואף השופט אינו מציל את העם </w:t>
      </w:r>
      <w:proofErr w:type="spellStart"/>
      <w:r w:rsidRPr="00247A06">
        <w:rPr>
          <w:sz w:val="24"/>
          <w:szCs w:val="24"/>
          <w:rtl/>
        </w:rPr>
        <w:t>משיעבוד</w:t>
      </w:r>
      <w:proofErr w:type="spellEnd"/>
      <w:r w:rsidRPr="00247A06">
        <w:rPr>
          <w:sz w:val="24"/>
          <w:szCs w:val="24"/>
        </w:rPr>
        <w:t>!</w:t>
      </w:r>
    </w:p>
    <w:p w:rsidR="00863D3B" w:rsidRPr="00247A06" w:rsidRDefault="00863D3B" w:rsidP="00863D3B">
      <w:pPr>
        <w:rPr>
          <w:b/>
          <w:bCs/>
          <w:sz w:val="24"/>
          <w:szCs w:val="24"/>
        </w:rPr>
      </w:pPr>
      <w:r w:rsidRPr="00247A06">
        <w:rPr>
          <w:sz w:val="24"/>
          <w:szCs w:val="24"/>
          <w:rtl/>
        </w:rPr>
        <w:t xml:space="preserve">לפני שנציג את ההסברים השונים, נציין </w:t>
      </w:r>
      <w:r w:rsidRPr="00247A06">
        <w:rPr>
          <w:b/>
          <w:bCs/>
          <w:sz w:val="24"/>
          <w:szCs w:val="24"/>
          <w:rtl/>
        </w:rPr>
        <w:t xml:space="preserve">שמאפיינים ייחודיים לשופטים אלו הוא השימוש בשורש שפ"ט, ציון </w:t>
      </w:r>
      <w:proofErr w:type="spellStart"/>
      <w:r w:rsidRPr="00247A06">
        <w:rPr>
          <w:b/>
          <w:bCs/>
          <w:sz w:val="24"/>
          <w:szCs w:val="24"/>
          <w:rtl/>
        </w:rPr>
        <w:t>מדוייק</w:t>
      </w:r>
      <w:proofErr w:type="spellEnd"/>
      <w:r w:rsidRPr="00247A06">
        <w:rPr>
          <w:b/>
          <w:bCs/>
          <w:sz w:val="24"/>
          <w:szCs w:val="24"/>
          <w:rtl/>
        </w:rPr>
        <w:t xml:space="preserve"> (ולא בשנים 'עגולות') של שנות פעילותם, ציון מקום קבורתם, וכאמור - תיאור קצרצר של עד שלושה פסוקים</w:t>
      </w:r>
      <w:r w:rsidRPr="00247A06">
        <w:rPr>
          <w:b/>
          <w:bCs/>
          <w:sz w:val="24"/>
          <w:szCs w:val="24"/>
        </w:rPr>
        <w:t>.</w:t>
      </w:r>
    </w:p>
    <w:p w:rsidR="00863D3B" w:rsidRPr="00247A06" w:rsidRDefault="00863D3B" w:rsidP="00863D3B">
      <w:pPr>
        <w:rPr>
          <w:b/>
          <w:bCs/>
          <w:sz w:val="26"/>
          <w:szCs w:val="26"/>
        </w:rPr>
      </w:pPr>
      <w:r w:rsidRPr="00247A06">
        <w:rPr>
          <w:b/>
          <w:bCs/>
          <w:sz w:val="26"/>
          <w:szCs w:val="26"/>
          <w:rtl/>
        </w:rPr>
        <w:t>תיאוריית הנדידה</w:t>
      </w:r>
    </w:p>
    <w:p w:rsidR="00863D3B" w:rsidRPr="00247A06" w:rsidRDefault="00863D3B" w:rsidP="00863D3B">
      <w:pPr>
        <w:rPr>
          <w:sz w:val="24"/>
          <w:szCs w:val="24"/>
        </w:rPr>
      </w:pPr>
      <w:r w:rsidRPr="00247A06">
        <w:rPr>
          <w:sz w:val="24"/>
          <w:szCs w:val="24"/>
          <w:rtl/>
        </w:rPr>
        <w:t xml:space="preserve">במבט-על נגלה כי בכל דור השופט הגיע משבט אחר. יתר על כן, </w:t>
      </w:r>
      <w:r w:rsidRPr="00247A06">
        <w:rPr>
          <w:b/>
          <w:bCs/>
          <w:sz w:val="24"/>
          <w:szCs w:val="24"/>
          <w:rtl/>
        </w:rPr>
        <w:t>השופטים מסודרים בסדר גיאוגרפי</w:t>
      </w:r>
      <w:r w:rsidRPr="00247A06">
        <w:rPr>
          <w:sz w:val="24"/>
          <w:szCs w:val="24"/>
          <w:rtl/>
        </w:rPr>
        <w:t xml:space="preserve">, בתנועת פרסה: מיהודה שבמרכז-דרום הארץ, לשבטי הצפון עד </w:t>
      </w:r>
      <w:proofErr w:type="spellStart"/>
      <w:r w:rsidRPr="00247A06">
        <w:rPr>
          <w:sz w:val="24"/>
          <w:szCs w:val="24"/>
          <w:rtl/>
        </w:rPr>
        <w:t>איזור</w:t>
      </w:r>
      <w:proofErr w:type="spellEnd"/>
      <w:r w:rsidRPr="00247A06">
        <w:rPr>
          <w:sz w:val="24"/>
          <w:szCs w:val="24"/>
          <w:rtl/>
        </w:rPr>
        <w:t xml:space="preserve"> הגלעד, ולבסוף </w:t>
      </w:r>
      <w:proofErr w:type="spellStart"/>
      <w:r w:rsidRPr="00247A06">
        <w:rPr>
          <w:sz w:val="24"/>
          <w:szCs w:val="24"/>
          <w:rtl/>
        </w:rPr>
        <w:t>איזור</w:t>
      </w:r>
      <w:proofErr w:type="spellEnd"/>
      <w:r w:rsidRPr="00247A06">
        <w:rPr>
          <w:sz w:val="24"/>
          <w:szCs w:val="24"/>
          <w:rtl/>
        </w:rPr>
        <w:t xml:space="preserve"> מישור החוף - מהצפון (אשר) עד למרכז (דן). </w:t>
      </w:r>
      <w:r w:rsidRPr="00247A06">
        <w:rPr>
          <w:b/>
          <w:bCs/>
          <w:sz w:val="24"/>
          <w:szCs w:val="24"/>
          <w:rtl/>
        </w:rPr>
        <w:t>הספר מזכיר את השופטים האלו כדי להשלים את הפאזל השבטי ואת התמונה הגיאוגרפית של השופטים</w:t>
      </w:r>
      <w:r w:rsidRPr="00247A06">
        <w:rPr>
          <w:sz w:val="24"/>
          <w:szCs w:val="24"/>
        </w:rPr>
        <w:t>.</w:t>
      </w:r>
    </w:p>
    <w:p w:rsidR="00863D3B" w:rsidRPr="00247A06" w:rsidRDefault="00863D3B" w:rsidP="00863D3B">
      <w:pPr>
        <w:rPr>
          <w:b/>
          <w:bCs/>
          <w:sz w:val="26"/>
          <w:szCs w:val="26"/>
        </w:rPr>
      </w:pPr>
      <w:r w:rsidRPr="00247A06">
        <w:rPr>
          <w:b/>
          <w:bCs/>
          <w:sz w:val="26"/>
          <w:szCs w:val="26"/>
          <w:rtl/>
        </w:rPr>
        <w:t>תיאוריית הרצף</w:t>
      </w:r>
    </w:p>
    <w:p w:rsidR="00863D3B" w:rsidRPr="00247A06" w:rsidRDefault="00863D3B" w:rsidP="00863D3B">
      <w:pPr>
        <w:rPr>
          <w:sz w:val="24"/>
          <w:szCs w:val="24"/>
        </w:rPr>
      </w:pPr>
      <w:r w:rsidRPr="00247A06">
        <w:rPr>
          <w:sz w:val="24"/>
          <w:szCs w:val="24"/>
          <w:rtl/>
        </w:rPr>
        <w:t xml:space="preserve">לטענת </w:t>
      </w:r>
      <w:proofErr w:type="spellStart"/>
      <w:r w:rsidRPr="00247A06">
        <w:rPr>
          <w:sz w:val="24"/>
          <w:szCs w:val="24"/>
          <w:rtl/>
        </w:rPr>
        <w:t>יאירה</w:t>
      </w:r>
      <w:proofErr w:type="spellEnd"/>
      <w:r w:rsidRPr="00247A06">
        <w:rPr>
          <w:sz w:val="24"/>
          <w:szCs w:val="24"/>
          <w:rtl/>
        </w:rPr>
        <w:t xml:space="preserve"> אמית, השופטים הקטנים אכן משתלבים במודל של הספר. בספר יש שבעה מחזורים של חטא-עונש-הצלה, </w:t>
      </w:r>
      <w:r w:rsidRPr="00247A06">
        <w:rPr>
          <w:b/>
          <w:bCs/>
          <w:sz w:val="24"/>
          <w:szCs w:val="24"/>
          <w:rtl/>
        </w:rPr>
        <w:t>והשופטים הקטנים מציינים את תקופות השקט שלאחר ההצלה</w:t>
      </w:r>
      <w:r w:rsidRPr="00247A06">
        <w:rPr>
          <w:sz w:val="24"/>
          <w:szCs w:val="24"/>
          <w:rtl/>
        </w:rPr>
        <w:t xml:space="preserve">. כך, לדוגמא, יש להסביר כי תקופת אבימלך הייתה עונש לישראל, תולע בן </w:t>
      </w:r>
      <w:proofErr w:type="spellStart"/>
      <w:r w:rsidRPr="00247A06">
        <w:rPr>
          <w:sz w:val="24"/>
          <w:szCs w:val="24"/>
          <w:rtl/>
        </w:rPr>
        <w:t>פואה</w:t>
      </w:r>
      <w:proofErr w:type="spellEnd"/>
      <w:r w:rsidRPr="00247A06">
        <w:rPr>
          <w:sz w:val="24"/>
          <w:szCs w:val="24"/>
          <w:rtl/>
        </w:rPr>
        <w:t xml:space="preserve"> הושיע את ישראל, וממנו החלה תקופת שקט של 45 שנה. לאחר מכן העם שקע שוב בחטא, נענש, ויפתח הושיעו. אמנם תקופת שלטונו של יפתח ארכה רק 6 שנים, אך תקופת השקט </w:t>
      </w:r>
      <w:proofErr w:type="spellStart"/>
      <w:r w:rsidRPr="00247A06">
        <w:rPr>
          <w:sz w:val="24"/>
          <w:szCs w:val="24"/>
          <w:rtl/>
        </w:rPr>
        <w:t>היתה</w:t>
      </w:r>
      <w:proofErr w:type="spellEnd"/>
      <w:r w:rsidRPr="00247A06">
        <w:rPr>
          <w:sz w:val="24"/>
          <w:szCs w:val="24"/>
          <w:rtl/>
        </w:rPr>
        <w:t xml:space="preserve"> ממושכת יותר - 25 שנים, הכוללות שלושה שופטים קטנים. כך, השופטים הקטנים יוצרים תקופת שקט שלאחר הישועה</w:t>
      </w:r>
      <w:r w:rsidRPr="00247A06">
        <w:rPr>
          <w:sz w:val="24"/>
          <w:szCs w:val="24"/>
        </w:rPr>
        <w:t>.</w:t>
      </w:r>
    </w:p>
    <w:p w:rsidR="00863D3B" w:rsidRPr="00247A06" w:rsidRDefault="00863D3B" w:rsidP="00863D3B">
      <w:pPr>
        <w:rPr>
          <w:sz w:val="24"/>
          <w:szCs w:val="24"/>
        </w:rPr>
      </w:pPr>
      <w:r w:rsidRPr="00247A06">
        <w:rPr>
          <w:sz w:val="24"/>
          <w:szCs w:val="24"/>
          <w:rtl/>
        </w:rPr>
        <w:t xml:space="preserve">הסבר זה חושף מסר נוסף של הספר: אף לאחר </w:t>
      </w:r>
      <w:proofErr w:type="spellStart"/>
      <w:r w:rsidRPr="00247A06">
        <w:rPr>
          <w:sz w:val="24"/>
          <w:szCs w:val="24"/>
          <w:rtl/>
        </w:rPr>
        <w:t>כשלון</w:t>
      </w:r>
      <w:proofErr w:type="spellEnd"/>
      <w:r w:rsidRPr="00247A06">
        <w:rPr>
          <w:sz w:val="24"/>
          <w:szCs w:val="24"/>
          <w:rtl/>
        </w:rPr>
        <w:t xml:space="preserve"> המלכות הכפול, של גדעון ואבימלך, </w:t>
      </w:r>
      <w:r w:rsidRPr="00247A06">
        <w:rPr>
          <w:b/>
          <w:bCs/>
          <w:sz w:val="24"/>
          <w:szCs w:val="24"/>
          <w:rtl/>
        </w:rPr>
        <w:t>יש חשיבות גדולה לרצף שלטוני. הרצף השלטוני מונע את הידרדרות העם לחטא, ורק הפסקת הרצף מובילה לחטאי עם ישראל</w:t>
      </w:r>
      <w:r w:rsidRPr="00247A06">
        <w:rPr>
          <w:sz w:val="24"/>
          <w:szCs w:val="24"/>
          <w:rtl/>
        </w:rPr>
        <w:t xml:space="preserve"> (לפני ימי יפתח ולפני ימי שמשון). אם כן, צדק איש ישראל כשביקש מלוכה - שהרי רצף שלטוני מונע את הידרדרות העם למצב שבו כל איש בישראל עושה הישר בעיניו</w:t>
      </w:r>
      <w:r w:rsidRPr="00247A06">
        <w:rPr>
          <w:sz w:val="24"/>
          <w:szCs w:val="24"/>
        </w:rPr>
        <w:t>.</w:t>
      </w:r>
    </w:p>
    <w:p w:rsidR="006928CD" w:rsidRPr="00863D3B" w:rsidRDefault="006928CD"/>
    <w:sectPr w:rsidR="006928CD" w:rsidRPr="00863D3B" w:rsidSect="00225A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3B"/>
    <w:rsid w:val="00225A12"/>
    <w:rsid w:val="00247A06"/>
    <w:rsid w:val="002525BD"/>
    <w:rsid w:val="006928CD"/>
    <w:rsid w:val="00863D3B"/>
    <w:rsid w:val="008B5B0F"/>
    <w:rsid w:val="00A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863D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863D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a"/>
    <w:rsid w:val="00863D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863D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863D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a"/>
    <w:rsid w:val="00863D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rimon</dc:creator>
  <cp:lastModifiedBy>rimon</cp:lastModifiedBy>
  <cp:revision>3</cp:revision>
  <dcterms:created xsi:type="dcterms:W3CDTF">2015-10-12T07:18:00Z</dcterms:created>
  <dcterms:modified xsi:type="dcterms:W3CDTF">2015-10-12T07:24:00Z</dcterms:modified>
</cp:coreProperties>
</file>